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E024F" w14:textId="77777777" w:rsidR="00D85831" w:rsidRDefault="00D85831" w:rsidP="00D85831">
      <w:pPr>
        <w:pStyle w:val="NormalWeb"/>
        <w:jc w:val="right"/>
        <w:rPr>
          <w:sz w:val="20"/>
          <w:szCs w:val="20"/>
        </w:rPr>
      </w:pPr>
      <w:r>
        <w:rPr>
          <w:rStyle w:val="Strong"/>
          <w:sz w:val="20"/>
          <w:szCs w:val="20"/>
        </w:rPr>
        <w:t>Հավելված N 23</w:t>
      </w:r>
      <w:r>
        <w:rPr>
          <w:b/>
          <w:bCs/>
          <w:sz w:val="20"/>
          <w:szCs w:val="20"/>
        </w:rPr>
        <w:br/>
      </w:r>
      <w:r>
        <w:rPr>
          <w:rStyle w:val="Strong"/>
          <w:sz w:val="20"/>
          <w:szCs w:val="20"/>
        </w:rPr>
        <w:t>ՀՀ կառավարության</w:t>
      </w:r>
      <w:r>
        <w:rPr>
          <w:b/>
          <w:bCs/>
          <w:sz w:val="20"/>
          <w:szCs w:val="20"/>
        </w:rPr>
        <w:br/>
      </w:r>
      <w:r>
        <w:rPr>
          <w:rStyle w:val="Strong"/>
          <w:sz w:val="20"/>
          <w:szCs w:val="20"/>
        </w:rPr>
        <w:t>2019 թվականի օգոստոսի 8-ի</w:t>
      </w:r>
      <w:r>
        <w:rPr>
          <w:b/>
          <w:bCs/>
          <w:sz w:val="20"/>
          <w:szCs w:val="20"/>
        </w:rPr>
        <w:br/>
      </w:r>
      <w:r>
        <w:rPr>
          <w:rStyle w:val="Strong"/>
          <w:sz w:val="20"/>
          <w:szCs w:val="20"/>
        </w:rPr>
        <w:t>N 1025-Ն որոշման</w:t>
      </w:r>
    </w:p>
    <w:p w14:paraId="1F7B7422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5E22F140" w14:textId="77777777" w:rsidR="00D85831" w:rsidRDefault="00D85831" w:rsidP="00D85831">
      <w:pPr>
        <w:pStyle w:val="vhc"/>
        <w:rPr>
          <w:sz w:val="20"/>
          <w:szCs w:val="20"/>
        </w:rPr>
      </w:pPr>
      <w:r>
        <w:rPr>
          <w:sz w:val="20"/>
          <w:szCs w:val="20"/>
        </w:rPr>
        <w:t>ՀԱՅԱՍՏԱՆԻ ՀԱՆՐԱՊԵՏՈՒԹՅԱՆ ՔԱՂԱՔԱՇԻՆՈՒԹՅԱՆ, ՏԵԽՆԻԿԱԿԱՆ ԵՎ ՀՐԴԵՀԱՅԻՆ ԱՆՎՏԱՆԳՈՒԹՅԱՆ ՏԵՍՉԱԿԱՆ ՄԱՐՄԻՆ</w:t>
      </w:r>
    </w:p>
    <w:p w14:paraId="7D8E073A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4CB83A40" w14:textId="77777777" w:rsidR="00D85831" w:rsidRDefault="00D85831" w:rsidP="00D85831">
      <w:pPr>
        <w:pStyle w:val="vhc"/>
        <w:rPr>
          <w:sz w:val="20"/>
          <w:szCs w:val="20"/>
        </w:rPr>
      </w:pPr>
      <w:r>
        <w:rPr>
          <w:sz w:val="20"/>
          <w:szCs w:val="20"/>
        </w:rPr>
        <w:t>ՍՏՈՒԳԱԹԵՐԹ</w:t>
      </w:r>
      <w:r>
        <w:rPr>
          <w:sz w:val="20"/>
          <w:szCs w:val="20"/>
        </w:rPr>
        <w:br/>
        <w:t>ՄԱՆԿԱԿԱՆ ՆԱԽԱԴՊՐՈՑԱԿԱՆ ՀԻՄՆԱՐԿՆԵՐԻ ՀԱՄԱՐ</w:t>
      </w:r>
    </w:p>
    <w:p w14:paraId="529F7E98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20"/>
        <w:gridCol w:w="2470"/>
        <w:gridCol w:w="1969"/>
      </w:tblGrid>
      <w:tr w:rsidR="00D85831" w14:paraId="4AFA1B56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C862C9" w14:textId="77777777" w:rsidR="00D85831" w:rsidRDefault="00D85831" w:rsidP="001F4B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82A37E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C6F6E2" w14:textId="77777777" w:rsidR="00D85831" w:rsidRDefault="00D85831" w:rsidP="001F4BB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 _______ 20 թ.</w:t>
            </w:r>
          </w:p>
        </w:tc>
      </w:tr>
      <w:tr w:rsidR="00D85831" w14:paraId="2482D20A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F786FC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(տեսչական մարմնի տարածքային բաժնի անվանումը)</w:t>
            </w:r>
          </w:p>
        </w:tc>
        <w:tc>
          <w:tcPr>
            <w:tcW w:w="0" w:type="auto"/>
            <w:vAlign w:val="center"/>
            <w:hideMark/>
          </w:tcPr>
          <w:p w14:paraId="6E025C18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(հասցեն)</w:t>
            </w:r>
          </w:p>
        </w:tc>
        <w:tc>
          <w:tcPr>
            <w:tcW w:w="0" w:type="auto"/>
            <w:vAlign w:val="center"/>
            <w:hideMark/>
          </w:tcPr>
          <w:p w14:paraId="6B93E9F2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</w:t>
            </w:r>
            <w:r>
              <w:rPr>
                <w:rFonts w:eastAsia="Times New Roman"/>
                <w:sz w:val="20"/>
                <w:szCs w:val="20"/>
              </w:rPr>
              <w:br/>
              <w:t>(հեռախոսահամարը)</w:t>
            </w:r>
          </w:p>
        </w:tc>
      </w:tr>
      <w:tr w:rsidR="00D85831" w14:paraId="550B24A0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C09D7A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(ստուգող անձի պաշտոնը)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6634F9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(ազգանունը, անունը, հայրանունը)</w:t>
            </w:r>
          </w:p>
        </w:tc>
      </w:tr>
      <w:tr w:rsidR="00D85831" w14:paraId="404FA966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88E4D2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(ստուգող անձի պաշտոնը)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BF05D5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(ազգանունը, անունը, հայրանունը)</w:t>
            </w:r>
          </w:p>
        </w:tc>
      </w:tr>
      <w:tr w:rsidR="00D85831" w14:paraId="018F1E9B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2292E8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(ստուգող անձի պաշտոնը)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6ABADB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(ազգանունը, անունը, հայրանունը)</w:t>
            </w:r>
          </w:p>
        </w:tc>
      </w:tr>
      <w:tr w:rsidR="00D85831" w14:paraId="5D7E66B8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95D8E1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սկիզբ (ամսաթիվ)`_______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AE0EE7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ավարտ`</w:t>
            </w:r>
            <w:r>
              <w:rPr>
                <w:rFonts w:eastAsia="Times New Roman"/>
                <w:sz w:val="20"/>
                <w:szCs w:val="20"/>
              </w:rPr>
              <w:br/>
              <w:t>__________________</w:t>
            </w:r>
          </w:p>
        </w:tc>
      </w:tr>
      <w:tr w:rsidR="00D85831" w14:paraId="4D4A9328" w14:textId="77777777" w:rsidTr="001F4B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55378087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__________________________________________________________________</w:t>
            </w:r>
          </w:p>
        </w:tc>
      </w:tr>
      <w:tr w:rsidR="00D85831" w14:paraId="2B98C8D6" w14:textId="77777777" w:rsidTr="001F4B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40FC56C0" w14:textId="77777777" w:rsidR="00D85831" w:rsidRDefault="00D85831" w:rsidP="001F4B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Տնտեսավարող սուբյեկտի անվանումը</w:t>
            </w:r>
          </w:p>
        </w:tc>
      </w:tr>
      <w:tr w:rsidR="00D85831" w14:paraId="2AA6A34D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35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97"/>
              <w:gridCol w:w="296"/>
              <w:gridCol w:w="296"/>
              <w:gridCol w:w="296"/>
              <w:gridCol w:w="296"/>
              <w:gridCol w:w="296"/>
              <w:gridCol w:w="296"/>
              <w:gridCol w:w="296"/>
            </w:tblGrid>
            <w:tr w:rsidR="00D85831" w14:paraId="443CEFB8" w14:textId="77777777" w:rsidTr="001F4BB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5D7F5A" w14:textId="77777777" w:rsidR="00D85831" w:rsidRDefault="00D85831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EB6FB8" w14:textId="77777777" w:rsidR="00D85831" w:rsidRDefault="00D85831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29BF62" w14:textId="77777777" w:rsidR="00D85831" w:rsidRDefault="00D85831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9FEEC4" w14:textId="77777777" w:rsidR="00D85831" w:rsidRDefault="00D85831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9798B7" w14:textId="77777777" w:rsidR="00D85831" w:rsidRDefault="00D85831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CA7134" w14:textId="77777777" w:rsidR="00D85831" w:rsidRDefault="00D85831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65D817" w14:textId="77777777" w:rsidR="00D85831" w:rsidRDefault="00D85831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1FE264" w14:textId="77777777" w:rsidR="00D85831" w:rsidRDefault="00D85831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70C53411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ՀՎՀՀ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6B624A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Պետական ռեգիստրի վկայականի կամ գրանցման համարը</w:t>
            </w:r>
          </w:p>
        </w:tc>
      </w:tr>
      <w:tr w:rsidR="00D85831" w14:paraId="04103BBA" w14:textId="77777777" w:rsidTr="001F4B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5D38275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Տնտեսավարող սուբյեկտի գտնվելու վայրը</w:t>
            </w:r>
          </w:p>
        </w:tc>
        <w:tc>
          <w:tcPr>
            <w:tcW w:w="0" w:type="auto"/>
            <w:vAlign w:val="center"/>
            <w:hideMark/>
          </w:tcPr>
          <w:p w14:paraId="2E40B944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_______________</w:t>
            </w:r>
            <w:r>
              <w:rPr>
                <w:rFonts w:eastAsia="Times New Roman"/>
                <w:sz w:val="20"/>
                <w:szCs w:val="20"/>
              </w:rPr>
              <w:br/>
              <w:t>      հեռախոս</w:t>
            </w:r>
          </w:p>
        </w:tc>
      </w:tr>
      <w:tr w:rsidR="00D85831" w14:paraId="5780171F" w14:textId="77777777" w:rsidTr="001F4B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DCFEFC3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Տնտեսավարող սուբյեկտի ղեկավարի կամ վստահված անձի ազգանուն, անուն, հայրանուն</w:t>
            </w:r>
          </w:p>
        </w:tc>
        <w:tc>
          <w:tcPr>
            <w:tcW w:w="0" w:type="auto"/>
            <w:vAlign w:val="center"/>
            <w:hideMark/>
          </w:tcPr>
          <w:p w14:paraId="2D2DF797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</w:t>
            </w:r>
            <w:r>
              <w:rPr>
                <w:rFonts w:eastAsia="Times New Roman"/>
                <w:sz w:val="20"/>
                <w:szCs w:val="20"/>
              </w:rPr>
              <w:br/>
              <w:t>հեռախոս</w:t>
            </w:r>
          </w:p>
        </w:tc>
      </w:tr>
      <w:tr w:rsidR="00D85831" w14:paraId="7AB85C3D" w14:textId="77777777" w:rsidTr="001F4B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6803F419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հանձնարարագիր_____________ում կողմից______________________________________________երբ է տրված____________________________________</w:t>
            </w:r>
          </w:p>
        </w:tc>
      </w:tr>
      <w:tr w:rsidR="00D85831" w14:paraId="54838478" w14:textId="77777777" w:rsidTr="001F4B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0DB7855A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նպատակը/Ընդգրկված հարցերի համարներ_________________________________________________________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__________________________________________________________________</w:t>
            </w:r>
          </w:p>
        </w:tc>
      </w:tr>
    </w:tbl>
    <w:p w14:paraId="547DC0F7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7760A79B" w14:textId="77777777" w:rsidR="00D85831" w:rsidRDefault="00D85831" w:rsidP="00D85831">
      <w:pPr>
        <w:pStyle w:val="vhc"/>
        <w:rPr>
          <w:sz w:val="20"/>
          <w:szCs w:val="20"/>
        </w:rPr>
      </w:pPr>
      <w:r>
        <w:rPr>
          <w:sz w:val="20"/>
          <w:szCs w:val="20"/>
        </w:rPr>
        <w:t>ՀԱՐՑԱՇԱՐ</w:t>
      </w:r>
      <w:r>
        <w:rPr>
          <w:sz w:val="20"/>
          <w:szCs w:val="20"/>
        </w:rPr>
        <w:br/>
        <w:t>ՄԱՆԿԱԿԱՆ ՆԱԽԱԴՊՐՈՑԱԿԱՆ ՀԻՄՆԱՐԿՆԵՐԻ ՀԱՄԱՐ</w:t>
      </w:r>
    </w:p>
    <w:p w14:paraId="520AEA61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0"/>
        <w:gridCol w:w="2575"/>
        <w:gridCol w:w="458"/>
        <w:gridCol w:w="351"/>
        <w:gridCol w:w="515"/>
        <w:gridCol w:w="1349"/>
        <w:gridCol w:w="1130"/>
        <w:gridCol w:w="1107"/>
        <w:gridCol w:w="845"/>
      </w:tblGrid>
      <w:tr w:rsidR="00D85831" w14:paraId="4061005F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E7BDC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NN</w:t>
            </w:r>
            <w:r>
              <w:rPr>
                <w:rFonts w:eastAsia="Times New Roman"/>
                <w:sz w:val="20"/>
                <w:szCs w:val="20"/>
              </w:rPr>
              <w:br/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25AA0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Հարցեր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B6C57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Այո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812A1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Ոչ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FA033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Չ/Պ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1AC13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Կշիռ 10 բալանի համակարգով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3564E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Հղումներ նորմատիվ իրավական ակտերին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2BC6A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տեսակը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2EC53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Մեկնա-</w:t>
            </w:r>
            <w:r>
              <w:rPr>
                <w:rFonts w:eastAsia="Times New Roman"/>
                <w:sz w:val="20"/>
                <w:szCs w:val="20"/>
              </w:rPr>
              <w:br/>
              <w:t>բանու-</w:t>
            </w:r>
            <w:r>
              <w:rPr>
                <w:rFonts w:eastAsia="Times New Roman"/>
                <w:sz w:val="20"/>
                <w:szCs w:val="20"/>
              </w:rPr>
              <w:br/>
              <w:t>թյուն</w:t>
            </w:r>
          </w:p>
        </w:tc>
      </w:tr>
      <w:tr w:rsidR="00D85831" w14:paraId="45BF4A5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4581CA5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34FC181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Շենքերին, շինություններին, տարածքներին ներկայացվող հրդեհային անվտանգության պահանջներ</w:t>
            </w:r>
          </w:p>
        </w:tc>
      </w:tr>
      <w:tr w:rsidR="00D85831" w14:paraId="6D8558C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44C64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36F2C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Շինարարական հիմնատարրերը մշակված (տոգորված) են հրապաշտպան լուծույթով կամ պատվածքով և գտնվում են մշակման (տոգորման) ներգործության ժամկետների մեջ: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CB277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76402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48653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22A0C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3C6A2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7F824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734E7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85831" w14:paraId="1852F6C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AF853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546B8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Սանդղաբազուկների տակ գտնվող տարածքները ազատ են` չեն օգտագործվում առարկաների պահման համար: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6CE05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A731B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E8BC2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446C0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B1335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31, ենթակետ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CC1D4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4B93B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85831" w14:paraId="434EEFC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140A6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A07C9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Արտաքին հրշեջ սանդուղքները գտնվում են սարքին վիճակում: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95793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18D07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C0B4D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A66F0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BB01F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0722D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8E4D0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85831" w14:paraId="4F782FE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28F6C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4F70D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Մանկական նախադպրոցական շենքերից մինչև այլ շենքերի և շինությունների միջև պահանջվող միջտարածությունները պահպանված 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69F3E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7C81F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50264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9617D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DC3DE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«3», կետ 510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FCBC1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8761F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I*</w:t>
            </w:r>
          </w:p>
        </w:tc>
      </w:tr>
      <w:tr w:rsidR="00D85831" w14:paraId="4382390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32E1A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C6C38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Մանկական նախադպրոցական հաստատությունների շենքերի նկուղային (ցոկոլային) հարկերում տեղակայված չեն այրվող նյութերի պահեստավորման համար նախատեսված սենքեր: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072D8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27B6B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5A57E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AA2B8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165C7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A6394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AE7FB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85831" w14:paraId="0F67C6A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2F897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7AF65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Մանկական նախադպրոցական հաստատությունների տարածքները ապահովված են էլեկտրական լուսավորությամբ: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076F5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0507F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CFA84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386BF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543B3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2FCAD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439BC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85831" w14:paraId="16BDC2D6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DAB8C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AE564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Նկուղային (ցոկոլային) հարկերում գտնվող սենքերի լուսամուտները խուլ փակված չեն: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EE466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D0A4D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0FF84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75919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1EE85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8475F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6E64D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85831" w14:paraId="3DD0EA4C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83B53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89FBD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Մանկական ամառանոցները ապահովված են տագնապի ազդանշանային սարքերով: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50588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1ED27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3B43B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604B7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FACAF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II, գլուխ 12, կետ 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08500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B1928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85831" w14:paraId="56C83E2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2B94C7D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9B819F2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Տարահանման ճանապարհներ</w:t>
            </w:r>
          </w:p>
        </w:tc>
      </w:tr>
      <w:tr w:rsidR="00D85831" w14:paraId="5D0227E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4D420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AC2CA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Տարահանման ճանապարհների պատերը և առաստաղները երեսապատված են չայրվող շինանյութով: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FA031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1455A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E6776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3E493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4928D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41, ենթակետ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6F912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E1D2D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85831" w14:paraId="06FE7105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2B48C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52597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Տարահանման ճանապարհները ազատ են` ապահովված է մարդկանց անարգել տեղաշարժը: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FFDAE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3BE4D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84B65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12DBE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48340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I, գլուխ 3, կետ 41, ենթակետ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C150E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075A7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85831" w14:paraId="7EF4406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28F47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F750E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Հատակային ծածկերը (գորգերը, ուղեգորգերը) ամրացված են հատակին: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A60E5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3FD9F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57ABB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213BA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B9E77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AF12D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34329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85831" w14:paraId="5A00AB3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6A3D3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7C6B8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Տարահանման ուղիների հատակի վրա չկան 45սմ պակաս բարձրությունների անկումներ կամ ելուստներ: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F5E6F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676C7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7A1D0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77A28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64950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77AC5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DC94E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85831" w14:paraId="782E706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492A6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AE351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Բարձրությունների անկումների տեղերում նախատեսված են 3-ից ոչ պակաս թվաքանակով աստիճաններ կամ 1:6 ոչ ավելի թեքությամբ թեքահարթակներ: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F5B50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EF171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14CC0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A2D46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7DA3A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BD064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666B0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85831" w14:paraId="2FDAA40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A68F2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8E3CE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Տարահանման համար նախատեսված սանդղավանդակները յուրաքանչյուր հարկում արտաքին պատերում ունեն 1,2մ ոչ պակաս մակերեսով լուսաբացվածքներ: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83226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8AD40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B5B19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2A8AC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D991C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7C413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A054F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85831" w14:paraId="381FBD6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2A150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369EE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Սանդղավանդակները ունեն ելք դեպի դուրս անմիջապես կամ նախասրահով: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3B0A5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C73F8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9DC9E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1660D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4D397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64404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C002E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85831" w14:paraId="263E129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2DAD6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20E38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Երկու սանդղավանդակների կամ ելքերի միջև տեղակայված մանկական նախադպրոցական հաստատություններում խմբակային բջիջների տարահանման ելքերից մինչև դրսի ելքի դուռը հեռավորությունը չի գերազանցում 15 մետրը: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86950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CFC47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6FDF2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8F1B3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D3020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60 աղյ.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C1C21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01C64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85831" w14:paraId="72AAE3F8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80F9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F95B0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Փակուղային միջանցքներում տեղակայված մանկական նախադպրոցական հաստատություններում խմբակային բջիջների տարահանման ելքերից մինչև դրսի ելքի դուռը հեռավորությունը չի գերազանցում 10 մետրը: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E7AD9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B9EB0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3A732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1FA29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6DE4B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60 աղյ.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AD690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61AB1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85831" w14:paraId="39811956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8A20C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D710F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Տասը մարդ և ավելի միաժամանակյա ներկայության համար նախատեսված սենքերը ունեն երկուսից ոչ պակաս տարահանման ելքեր: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75052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14E01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A4BA3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48CCC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A4D1E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D5E08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CFC1F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85831" w14:paraId="5982622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5DD9F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3ED62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Շենքից տարահանման ելքերի քանակը պակաս չէ երկուսից, եթե դրանում տեղավորված են սենքեր, որոնք պետք է ունենան ոչ պակաս քան տարահանման երկու ելք: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6B387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1FD3C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CD3AB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11E0A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A3415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CEA49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4D880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II*</w:t>
            </w:r>
          </w:p>
        </w:tc>
      </w:tr>
      <w:tr w:rsidR="00D85831" w14:paraId="37F47FA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BEF64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BDA3F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Տարահանման երկու ելքերի առկայության դեպքում, դրանք տեղակայված են ապակենտրոնացված: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073BC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4CCC3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02A08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962E7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40444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4A86E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E4407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85831" w14:paraId="0C1683D8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14172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872DB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Տարահանման ելքի դռները բացվում են շենքից դուրս գալու ուղղությամբ: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AF720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76FFA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F8C22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FC4AE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8EFE6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8163C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9C0CD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85831" w14:paraId="1EE66D3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6CCA340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III 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39FA76B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Էլեկտրասարքավորումներին ներկայացվող հրդեհային անվտանգության պահանջներ</w:t>
            </w:r>
          </w:p>
        </w:tc>
      </w:tr>
      <w:tr w:rsidR="00D85831" w14:paraId="22B0EE5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7C8EC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3AA3A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Հրդեհավտանգ հիմնատարրերով տանիքների վրայով օդային էլեկտրահաղորդման գծեր անցկացված չեն: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63827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51C25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5611B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AFBFE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1E5B6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4, կետ 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657ED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803A8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85831" w14:paraId="146D77E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557AD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17C49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Էլեկտրասարքավորումները մոնտաժվել և շահագործվում են էլեկտրական սարքավորումների տեղակայման կանոնների համաձայն: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9E0D9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3C6FE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5AFCC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627C8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11B77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I, գլուխ 4, կետ 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78F13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8CD01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85831" w14:paraId="300D7423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EB3C3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3128F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Տարահանման ճանապարհներին մոնտաժված են վթարային լուսավորության լուսատուներ և ելք ցույց տվող ցուցանակներ: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BE62B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9E0E2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4E8BC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15BB2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7AEFB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հավելված 1, գլուխ 2, կետ 10, «8», գլուխ 6, կետեր </w:t>
            </w:r>
            <w:r>
              <w:rPr>
                <w:rFonts w:eastAsia="Times New Roman"/>
                <w:sz w:val="20"/>
                <w:szCs w:val="20"/>
              </w:rPr>
              <w:lastRenderedPageBreak/>
              <w:t xml:space="preserve">208, 212, 231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09B90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CCEFB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85831" w14:paraId="1670607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F2D2D6C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3343F61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Ջեռուցման և օդափոխման համակարգերին ներկայացվող հրդեհային անվտանգության պահանջներ</w:t>
            </w:r>
          </w:p>
        </w:tc>
      </w:tr>
      <w:tr w:rsidR="00D85831" w14:paraId="3CBF142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1116A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5F018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Կաթսայատներում հեղուկ վառելանյութ պահեստավորված չէ: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88171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A92C8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DEE7A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2A6C6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4B559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5, կետ 61, ենթակետ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DF2BE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653F1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85831" w14:paraId="4465E388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3E5B9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0925E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Վառարանային ջեռուցման սարքավորումների շահագործման ժամանակ ծխահեռացումը չի իրականացվում օդափոխման և գազային անցուղիներով: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C07C6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318C9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AB967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76AEC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DDD03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5, կետ 62, ենթակետ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4B0E6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36E94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85831" w14:paraId="6793A0B5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6A1FD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13416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Օդափոխիչ համակարգի ինքնաշխատ անջատման սարքավորումները գտնվում են սարքին վիճակում: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80D48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23C19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88D15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3E2A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29B70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5, կետ 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1EAC8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8E55A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85831" w14:paraId="3D89BF18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938FD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C17B5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Ծխնելույզների մաքրումն իրականացվում է սահմանված ժամկետներում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62D69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8C087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EDB68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3C886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088CF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գլուխ 5, կետ 59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D35A8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03A4E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85831" w14:paraId="7A83152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4BFC0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D2641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Ծխահեռացման խողովակները բարձրացված են տանիքից վեր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16EF7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AF464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E6111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EA09F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4A643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«9», գլուխ 5, կետ 263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B4283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38431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85831" w14:paraId="2F21B55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F72B4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02ED8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Այրման արգասիքների թափանցումը սենքեր կանխելու նպատակով օդատարերի վրա տեղադրված են հրակասեցնող կափույրներ: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1EAF0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EC430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95ED3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78205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3CA98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«6», կետ 7.11.1, ենթակետ 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FD55B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8B704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85831" w14:paraId="245EEC9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6E735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0B35C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Շենքի միջանցքներում տեղակայված է հակածխային պաշտպանության համակարգ: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D9D25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294A5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D4F9C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4136D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A0AE5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«6», գլուխ 8, կետ 8.2, ենթակետ 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0EC47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527A5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85831" w14:paraId="4C9C6A9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62175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E7AD7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 մակերեսով բնական լուսավորություն չունեցող սենքերում տեղակայված է հակածխային պաշտպանության համակարգ: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B752D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B2ED7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0D2BB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14DF8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8C424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«6», կետ 8.2, ենթակետ 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95087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30E67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85831" w14:paraId="0D0FF683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7B1451F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6B5872F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Հակահրդեհային ջրամատակարարման ցանցեր</w:t>
            </w:r>
          </w:p>
        </w:tc>
      </w:tr>
      <w:tr w:rsidR="00D85831" w14:paraId="0B7E685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0AA4D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213FA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Շինություններին (այդ թվում նաև հակահրդեհային ջրամատակարարման աղբյուրներին) հրշեջ փրկարարական ուժերի և միջոցների մոտեցումը ստուգվողի կողմից փակված չէ: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54D03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85B35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FE868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3A3B0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B82D6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714CC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5B3C5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85831" w14:paraId="780D50A1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63218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C7DB0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Արտաքին հրդեհաշիջման համար օբյեկտների տարածքում կամ դրանց մոտակայքում (200 մ շառավղով) նախատեսված է առնվազն 1 հրշեջ հիդրանտ կամ նվազագույնը 54 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 xml:space="preserve"> տարողությամբ հակահրդեհային ջրավազան: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EA0E7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FA133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7EEEE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5EC4B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6A5D4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«7», գլուխ 5, կետեր 29, 45, գլուխ 11, կետ 602 և գլուխ 12, կետ 713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492C6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FB12F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85831" w14:paraId="54EC7E46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B3AA8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616C6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5000 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-ից ավելի ծավալով շենքերը սարքավորված են հրշեջ ծորակներով կահավորված ներքին հակահրդեհային ջրացանցով այնպես, որ յուրաքանչյուր կետ ցողվի 1X2,5 լ/վրկ ջրի շիթով: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4784E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82207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E2A46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8C76D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76E25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«2», կետ 61, աղյուսակ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98192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C88E5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85831" w14:paraId="5B6CE26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52F68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85271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Հակահրդեհային ջրամատակարարման ցանցի վրա տեղակայված հրշեջ ծորակները համալրված են փողակով և փողրակով: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F9297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78705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38E53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7F93E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1995C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I, գլուխ 6, կետ 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55675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29FE5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85831" w14:paraId="290AFA0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6EE9F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D3C1B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Շենքում տեղադրված 12 և ավելի հակահրդեհային ծորակների առկայության դեպքում ներքին հակահրդեհային ջրագիծը միացված է արտաքին օղակավորված ջրագծի տարբեր տեղամասերին երկու մուտքագծով: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7927A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B34C7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483B1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D0F7E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827B8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«2», կետ 101, ենթակետ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89A9A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00134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85831" w14:paraId="1A2B175F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52621EE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2F05CF6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Հրդեհի ազդանշանման և հրդեհաշիջման համակարգեր</w:t>
            </w:r>
          </w:p>
        </w:tc>
      </w:tr>
      <w:tr w:rsidR="00D85831" w14:paraId="3F3CB7A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C4E5D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6F7C2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Մանկական նախադպրոցական հիմնարկը սարքավորված են հրդեհի ազդանշանման ինքնաշխատ համակարգով: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BD39B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18ABF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48605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65658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B306F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7, կետ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DCA39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3CA82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III*</w:t>
            </w:r>
          </w:p>
        </w:tc>
      </w:tr>
      <w:tr w:rsidR="00D85831" w14:paraId="203C3A03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ED7D1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A2559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Հակահրդեհային ինքնաշխատ համակարգից հրդեհի տագնապի ազդանշանը փոխանցվում է լիազոր մարմնին: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7988E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45587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20300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9BA25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6D82F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7, կետ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077FF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86FF8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85831" w14:paraId="7C943613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A526B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897BA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Հակահրդեհային ինքնաշխատ համակարգերը մոնտաժված են նորմերին համապատասխան և գտնվում են սարքին վիճակում: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1B7FF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CB489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6D233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AADB1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63DDD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I, գլուխ 7, կետեր 81, 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0039B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70D40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85831" w14:paraId="48E47041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CEB7169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F6AA262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Հրդեհաշիջման սկզբնական միջոցներ</w:t>
            </w:r>
          </w:p>
        </w:tc>
      </w:tr>
      <w:tr w:rsidR="00D85831" w14:paraId="0E18CB3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3419B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8C8E6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Օբյեկտն ապահովված է հրդեհաշիջման սկզբնական միջոցներով: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0077B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BD10D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FB19F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DE8B1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4B687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VIII, կետ 504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B25EC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A9025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IV*</w:t>
            </w:r>
          </w:p>
        </w:tc>
      </w:tr>
      <w:tr w:rsidR="00D85831" w14:paraId="7FBB10E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9A266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80896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«Ա», «Բ», «Վ» կարգի շինություններում կրակմարիչները տեղադրված են հրդեհի հնարավոր օջախներից 30 մետրից ոչ ավելի հեռավորության վրա: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E1AB0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2B49F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7F3B4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D2638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0066A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VIII, կետ 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2E2B5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FF733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85831" w14:paraId="552D5CAF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68462A8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FC9A0DE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Տեխնիկական անվտանգության ապահովում</w:t>
            </w:r>
          </w:p>
        </w:tc>
      </w:tr>
      <w:tr w:rsidR="00D85831" w14:paraId="698FB09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97EF7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897F5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Առկա է արտադրական վտանգավոր օբյեկտը արտադրական վտանգավոր օբյեկտների ռեեստրում գրանցման վկայականը: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A5DC1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BA775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3EE06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F30B4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C18AC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«4», հոդված 19, մաս 1, կետ ժդ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B4990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1F34C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85831" w14:paraId="68BA4FC6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61547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B13C4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Արտադրական վտանգավոր օբյեկտում առկա է տեխնիկական անվտանգության ամենամյա փորձաքննության եզրակացությունը: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23147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939FF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2D73C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7EC58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2B3C0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«4», հոդված 11, մաս 6, հոդված 19, մաս 1, կետ ժբ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6A709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2FFC0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</w:tbl>
    <w:p w14:paraId="4E9355C4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54"/>
        <w:gridCol w:w="2598"/>
      </w:tblGrid>
      <w:tr w:rsidR="00D85831" w14:paraId="66237DEB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4E1D31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Ծանոթագրություն: Նախավերջին սյունակում</w:t>
            </w:r>
          </w:p>
        </w:tc>
        <w:tc>
          <w:tcPr>
            <w:tcW w:w="0" w:type="auto"/>
            <w:vAlign w:val="center"/>
            <w:hideMark/>
          </w:tcPr>
          <w:p w14:paraId="20C2A43D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1-փաստաթղթային ստուգում</w:t>
            </w:r>
          </w:p>
        </w:tc>
      </w:tr>
      <w:tr w:rsidR="00D85831" w14:paraId="010B1F56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A27E54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D5542D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2-ակնադիտարկում</w:t>
            </w:r>
          </w:p>
        </w:tc>
      </w:tr>
      <w:tr w:rsidR="00D85831" w14:paraId="0F7F7C8F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BDE9AE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ABA7DF8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3-լաբորատոր ստուգում</w:t>
            </w:r>
          </w:p>
        </w:tc>
      </w:tr>
    </w:tbl>
    <w:p w14:paraId="28DA337F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0"/>
        <w:gridCol w:w="5356"/>
        <w:gridCol w:w="295"/>
        <w:gridCol w:w="295"/>
        <w:gridCol w:w="295"/>
      </w:tblGrid>
      <w:tr w:rsidR="00D85831" w14:paraId="553BD47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655CB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63199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«Այո»-այո, առկա է, համապատասխանում է, բավարարում 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9A728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E6492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53A56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85831" w14:paraId="09F6ACA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320FD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56D7D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«Ոչ»-ոչ, առկա չէ, չի համապատասխանում, չի բավարարում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63DAF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94449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D529B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85831" w14:paraId="1E9773D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91EF6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59CFC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«Չ/պ»-չի պահանջվում, չի վերաբերում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42C50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4DED0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4C508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</w:tr>
    </w:tbl>
    <w:p w14:paraId="3344A25A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sz w:val="20"/>
          <w:szCs w:val="20"/>
        </w:rPr>
        <w:lastRenderedPageBreak/>
        <w:t> </w:t>
      </w:r>
    </w:p>
    <w:p w14:paraId="6B1531F5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rStyle w:val="Strong"/>
          <w:sz w:val="20"/>
          <w:szCs w:val="20"/>
        </w:rPr>
        <w:t>Տվյալ ստուգաթերթը կազմվել է հետևյալ նորմատիվ փաստաթղթերի հիման վրա.</w:t>
      </w:r>
    </w:p>
    <w:p w14:paraId="272A66FC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«1» - ՀԱԿ «Հրդեհային անվտանգության կանոններ» - հաստատված ՀՀ ՏԿԱԻ նախարարի 2015 թվականի հունիսի 18-ի թիվ 595-Ն հրամանով, հավելված 1</w:t>
      </w:r>
    </w:p>
    <w:p w14:paraId="20BDA971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«2» - ՀՀՇՆ 40-01.01-2014 «Շենքերի ներքին ջրամատակարարում և ջրահեռացում»</w:t>
      </w:r>
    </w:p>
    <w:p w14:paraId="271A0A00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«3» - ՀՀՇՆ 30-01-2023 «Քաղաքաշինություն. Քաղաքային և գյուղական բնակավայրերի հատակագծում և կառուցապատում» </w:t>
      </w:r>
    </w:p>
    <w:p w14:paraId="2CFE7373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«4» - «Տեխնիկական անվտանգության ապահովման պետական կարգավորման մասին» ՀՀ օրենք ընդունված է 2005 թվականի հոկտեմբերի 24-ին</w:t>
      </w:r>
    </w:p>
    <w:p w14:paraId="389FC743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«5» - ՀՀՇՆ 21-01-2014 «Շենքերի և շինությունների հրդեհային անվտանգություն»</w:t>
      </w:r>
    </w:p>
    <w:p w14:paraId="64AC2FED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«6» - ՀՀՇՆ IV-12.02.01-04 «Ջեռուցում, օդափոխում և օդի լավորակում»</w:t>
      </w:r>
    </w:p>
    <w:p w14:paraId="3CB78817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«7» - ՀՀՇՆ 40.01.02-2020 «Ջրամատակարարում. Արտաքին ցանցեր և կառուցվածքներ»</w:t>
      </w:r>
    </w:p>
    <w:p w14:paraId="67ECB0E5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«8» - ՀՀՇՆ 22-03-2017 «Արհեստական և բնական լուսավորում»</w:t>
      </w:r>
    </w:p>
    <w:p w14:paraId="7E4B3986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«9» - ՀՀ կառավարության 2023 թ. ապրիլի 13-ի «Գազաբաշխման համակարգի անվտանգության և շահագործման կանոնները հաստատելու մասին» N 539-Ն որոշում»</w:t>
      </w:r>
    </w:p>
    <w:p w14:paraId="26EABEF2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16AC07BC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I*- Բնակելի, հասարակական և արտադրական նշանակության շենքերից և շինություններից մինչև տարբեր նպատակային նշանակության պահեստները (բաց հարթակները) կախված շինության հրակայունության աստիճանից նորմերով պահանջվող հակահրդեհային միջտարածությունները.</w:t>
      </w:r>
    </w:p>
    <w:p w14:paraId="60B16527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50"/>
        <w:gridCol w:w="1237"/>
        <w:gridCol w:w="1081"/>
        <w:gridCol w:w="1573"/>
      </w:tblGrid>
      <w:tr w:rsidR="00D85831" w14:paraId="26E58243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2694E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Շինության հրակայունության աստիճանը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E8A88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Կախված շինության հրակայունության աստիճանից հեռավորությունը, մ,</w:t>
            </w:r>
          </w:p>
        </w:tc>
      </w:tr>
      <w:tr w:rsidR="00D85831" w14:paraId="6BF57F7A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30BBF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67C32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I,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773E3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5B09F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IV, V</w:t>
            </w:r>
          </w:p>
        </w:tc>
      </w:tr>
      <w:tr w:rsidR="00D85831" w14:paraId="3792E43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8629B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I,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BB4BD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1AE19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0BD17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D85831" w14:paraId="63C85888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8CE32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B15F4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5F78D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6A1C2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D85831" w14:paraId="37D065F3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93712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IV, 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262F6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B64C4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56E2C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</w:tr>
    </w:tbl>
    <w:p w14:paraId="50E3FE8E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55A98146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Շենքերի օրինակելի կոնստրուկտիվ բնութագրերը.</w:t>
      </w:r>
    </w:p>
    <w:p w14:paraId="62D145A6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4"/>
        <w:gridCol w:w="4377"/>
      </w:tblGrid>
      <w:tr w:rsidR="00D85831" w14:paraId="0320D7F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9EEBD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Շենքերի կոնստրուկցիաների հրակայունության աստիճանը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87EAF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Կոնստրուկտիվ բնութագրերը</w:t>
            </w:r>
          </w:p>
        </w:tc>
      </w:tr>
      <w:tr w:rsidR="00D85831" w14:paraId="7B606DD1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AEBA4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EA72F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Շենքեր, որոնց կրող կամ պատող կոնստրուկցիաները բնական կամ արհեստական քարային, բետոնե կամ երկաթբետոնե շինանյութերից են` թերթավոր և սալիկային չայրվող նյութերի օգտագործմամբ:</w:t>
            </w:r>
          </w:p>
        </w:tc>
      </w:tr>
      <w:tr w:rsidR="00D85831" w14:paraId="68BD2EC8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1F086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5196C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Շենքեր, որոնց կրող կամ պատող կոնստրուկցիաները բնական կամ արհեստական քարային, բետոնե կամ երկաթբետոնե շինանյութերից են, օգտագործվում են թերթավոր և սալիկային չայրվող շինանյութեր: Շենքերի ծածկերում կարելի է օգտագործել չպաշտպանված պողպատե կոնստրուկցիաներ:</w:t>
            </w:r>
          </w:p>
        </w:tc>
      </w:tr>
      <w:tr w:rsidR="00D85831" w14:paraId="0B0D5AF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893E3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E2E27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Շենքեր, որոնց կրող կամ պատող կոնստրուկցիաները բնական կամ արհեստական քարային, բետոնե կամ երկաթբետոնե շինանյութերից են: Միջհարկային ծածկերի համար կարելի է օգտագործել փայտե </w:t>
            </w:r>
            <w:r>
              <w:rPr>
                <w:rFonts w:eastAsia="Times New Roman"/>
                <w:sz w:val="20"/>
                <w:szCs w:val="20"/>
              </w:rPr>
              <w:lastRenderedPageBreak/>
              <w:t>կոնստրուկցիաներ, պաշտպանված ծեփասվաղով կամ դժվար այրվող թիթեղային, ինչպես նաև սալիկային նյութերով: Ծածկի տարրերին հրակայունության և կրակի տարածման սահմանների վերաբերյալ պահանջներ չեն ներկայացնում, ընդ որում ձեղնահարկի ծածկի փայտե կոնստրուկցիաները ենթարկվում են կրակապաշտպան մշակման:</w:t>
            </w:r>
          </w:p>
        </w:tc>
      </w:tr>
      <w:tr w:rsidR="00D85831" w14:paraId="1A79505C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7BCE7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6B779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Շենքեր, որոնք հիմնականում ունեն կարկասային կոնստրուկտիվ սխեմա: Կարկասի տարրերը` պողպատե և այլ մետաղական անպաշտպան, ամբողջական կամ սոսնձային փայտանյութով և ուրիշ այրվող կամ դժվար այրվող նյութերով, որոնք կրակի և բարձր ջերմաստիճանի ազդեցությունից պաշտպանված են ծեփասվաղով կամ այլ չայրվող նյութերով: Պատող կոնստրուկցիաները` պողպատե պրոֆիլավորված թերթով կամ այլ չայրվող թերթավոր և դժվար այրվող ջերմամեկուսիչ նյութերից են: Ընդ որում, ձեղնահարկի փայտե կոնստրուկցիաները ենթարկվում են կրակապաշտպան մշակման:</w:t>
            </w:r>
          </w:p>
        </w:tc>
      </w:tr>
      <w:tr w:rsidR="00D85831" w14:paraId="1D933591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CA420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13D22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Շենքեր, որոնց կրող և պատող կոնստրուկցիաների հրակայունության և կրակի տարածման սահմանների նկատմամբ պահանջներ չեն ներկայացվում:</w:t>
            </w:r>
          </w:p>
        </w:tc>
      </w:tr>
    </w:tbl>
    <w:p w14:paraId="337ACB07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08CB8CBC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II*- Ոչ պակաս քան տարահանման երկու ելք պետք է ունենան.</w:t>
      </w:r>
    </w:p>
    <w:p w14:paraId="03E2BCD3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ա) տաս մարդուց ավելի միաժամանակյա ներկայության համար նախատեսված մանկական նախադպրոցական հիմնարկների, բնակչության սոցիալական պաշտպանության հաստատություններ և համայնքային փոքր տների, հիվանդանոցների, ինտերնատ-դպրոցների և մանկական հիմնարկների ննջարանային մասնաշենքերի սենքերը, </w:t>
      </w:r>
    </w:p>
    <w:p w14:paraId="2C72AACB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բ) տասնհինգ մարդուց ավելի միաժամանակյա ներկայության համար նախատեսված նկուղային և ցոկոլային հարկերի սենքերը, 50 մարդուց ավելի միաժամանակյա ներկայության համար նախատեսված սենքերը,</w:t>
      </w:r>
    </w:p>
    <w:p w14:paraId="460EF3CE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գ) առավել բազմաթիվ հերթափոխում հինգ մարդուց ավելի աշխատողների թվաքանակով արդյունաբերական և պահեստային շենքերի, կառուցվածքների Ա և Բ կարգի սենքերը, 25 մարդուց ավելի - Վ կարգի կամ 1000մ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ավելի մակերեսով սենքերը,</w:t>
      </w:r>
    </w:p>
    <w:p w14:paraId="46ABF94E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դ) արդյունաբերական և պահեստային շենքերի, կառուցվածքների բաց հարկաշարերը և հարթակները, նախատեսված սարքավորման սպասարկման համար, Ա և Բ կարգի սենքերի համար - 100մ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ավելի հարկաբաժնի հատակի մակերեսի դեպքում և 400մ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ավելի - այլ կարգի սենքերի համար,</w:t>
      </w:r>
    </w:p>
    <w:p w14:paraId="4E880C83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ե) երկու հարկերում (մակարդակներում) տեղադրված բազմաբնակարան բնակելի շենքերի սենքերը (բնակարանները), վերին հարկի տեղադրման 18 մ-ից ավելի բարձրության դեպքում, դրանք պետք է ունենան տարահանման ելքեր յուրաքանչյուր հարկից:</w:t>
      </w:r>
    </w:p>
    <w:p w14:paraId="5454DC00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5688C0BE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III*- Հրդեհի ազդանշանման ինքնաշխատ համակարգերով օբյեկտների համալրման չափանիշներն են.</w:t>
      </w:r>
    </w:p>
    <w:p w14:paraId="57572392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76"/>
        <w:gridCol w:w="947"/>
        <w:gridCol w:w="1418"/>
      </w:tblGrid>
      <w:tr w:rsidR="00D85831" w14:paraId="593E1F2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C7D1E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Պահպանվող օբյեկտների տեսակը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8C303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Պահանջվող հակահրդեհային համակարգեր</w:t>
            </w:r>
          </w:p>
        </w:tc>
      </w:tr>
      <w:tr w:rsidR="00D85831" w14:paraId="190E8E64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D3B69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Շենքեր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CFFBD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ՀՀԱԻԿ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BD246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ՀՏԱԻՀ և ՀՏԱՓԻՀ</w:t>
            </w:r>
          </w:p>
        </w:tc>
      </w:tr>
      <w:tr w:rsidR="00D85831" w14:paraId="2A3456DA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94654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BE09A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Նորմատիվ ցուցանիշներ</w:t>
            </w:r>
          </w:p>
        </w:tc>
      </w:tr>
      <w:tr w:rsidR="00D85831" w14:paraId="37F97A7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4BA0B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Հասարակական և վարչակենցաղային նշանակության շենքեր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21176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--------------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4B110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  <w:tr w:rsidR="00D85831" w14:paraId="0060A51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B33C3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 Առողջապահական նշանակության, ուսումնական հաստատությունների, դպրոցների, մսուր-մանկապարտեզների շենքեր և կառույցներ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DC391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--------------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451BE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  <w:tr w:rsidR="00D85831" w14:paraId="427DB59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B2121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2.2. Այլ վարչական և հասարակական նշանակության սենքեր, այդ թվում կցակառուցված և ներկառուցված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2AF6E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--------------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0D8E5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</w:tbl>
    <w:p w14:paraId="6BAD1B81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6B050B0A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IV*- Շենքերը և շինությունները ձեռքի կրակմարիչներով ապահովելու չափանիշները ներկայացված են ստորև ներկայացված աղյուսակներում.</w:t>
      </w:r>
    </w:p>
    <w:p w14:paraId="3B855D1E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9"/>
        <w:gridCol w:w="1556"/>
        <w:gridCol w:w="1437"/>
        <w:gridCol w:w="790"/>
        <w:gridCol w:w="1500"/>
        <w:gridCol w:w="363"/>
        <w:gridCol w:w="476"/>
        <w:gridCol w:w="476"/>
        <w:gridCol w:w="983"/>
        <w:gridCol w:w="443"/>
        <w:gridCol w:w="590"/>
      </w:tblGrid>
      <w:tr w:rsidR="00D85831" w14:paraId="588F79C5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223B0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NN</w:t>
            </w:r>
            <w:r>
              <w:rPr>
                <w:rFonts w:eastAsia="Times New Roman"/>
                <w:sz w:val="20"/>
                <w:szCs w:val="20"/>
              </w:rPr>
              <w:br/>
              <w:t>ը/կ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FDDF9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Շինության կարգը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3546C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Պաշտպանվող սահմանային մակերեսը, 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AB191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Հրդեհի դասը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AC4BE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Փրփրային և ջրային կրակմարիչներ 10 լ տարողությամբ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A8849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Փոշային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ղությամբ, լ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B3B81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Ֆրեո-</w:t>
            </w:r>
            <w:r>
              <w:rPr>
                <w:rFonts w:eastAsia="Times New Roman"/>
                <w:sz w:val="20"/>
                <w:szCs w:val="20"/>
              </w:rPr>
              <w:br/>
              <w:t>նային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 2(3) լ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67552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Ածխա-</w:t>
            </w:r>
            <w:r>
              <w:rPr>
                <w:rFonts w:eastAsia="Times New Roman"/>
                <w:sz w:val="20"/>
                <w:szCs w:val="20"/>
              </w:rPr>
              <w:br/>
              <w:t>թթվային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մարիչներ,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 լ.</w:t>
            </w:r>
          </w:p>
        </w:tc>
      </w:tr>
      <w:tr w:rsidR="00D85831" w14:paraId="7EA6FB08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F5024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21E49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0D2FA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A8F6B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CEA77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BB4F7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A4A7D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86052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40B7F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9DB94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9B1CE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5(8)</w:t>
            </w:r>
          </w:p>
        </w:tc>
      </w:tr>
      <w:tr w:rsidR="00D85831" w14:paraId="168BA173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961E2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CFE3C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Ա.Բ.Վ. այրվող գազեր և հեղուկներ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20330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1158A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42573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D9035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21C85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CD6EE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E66A4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476EC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3114E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85831" w14:paraId="71E94591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D7087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2A3EA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71CAD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3FC6D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7CACC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BCED8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B3366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F9E82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09B85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B234C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5D642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85831" w14:paraId="262240A0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EB03B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B9848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DDB9E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F37F5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279B6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40E70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AB7ED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EE5BF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0CABE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ECCB1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F6AD5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85831" w14:paraId="06632D2E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60C66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66976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8CDDB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DF2F3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E0416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F6F20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6DBC4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9D070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E112F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61044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AE0E9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85831" w14:paraId="288DAF00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8EBB8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7B98D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6298B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492BD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E1CF3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96A45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ECAA9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176F5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D6C5E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34A69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A6626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</w:tr>
      <w:tr w:rsidR="00D85831" w14:paraId="1965A91F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F5BC1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FE343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E6D9C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FE592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6DB18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00562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B3607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47193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60CBE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37DB6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A7ACC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</w:tr>
      <w:tr w:rsidR="00D85831" w14:paraId="52B4AEC9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5C8E6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91A11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9B10E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A2661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F04DF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AAA3C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1CE16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BF970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CF030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74B9B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C8847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85831" w14:paraId="05A15A30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22830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CAB1A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CF36A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303CC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57E3A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85E19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EB58F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7E593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EFBD6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02CDD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5F83F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</w:tr>
      <w:tr w:rsidR="00D85831" w14:paraId="7669871F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D99FD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93B61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7C21F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ED67C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727DE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13ACE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9AB6E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27673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6EB4C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DB46C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F9024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85831" w14:paraId="6BA698A7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1AC7E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33DE8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AC8D9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7DEF5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14AB2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B8BDF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1B191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5F36D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857B7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9ED62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4A3A3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85831" w14:paraId="1FD961B3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B22FF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A72DF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Գ.Դ.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58D94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56C4A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820BB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C9B92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910C6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54283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5797A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207A7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C4C57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85831" w14:paraId="5242FFC5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5DD6D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C90CA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B6855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E3B47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4E7AF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91D0F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CA54A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DBD62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7269A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0BF28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239E0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85831" w14:paraId="2DF4E454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B07A6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15867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92CE0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B75D3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40196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D9A7B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C22FF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760F5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F8C6A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AB0A1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6B61A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</w:tr>
      <w:tr w:rsidR="00D85831" w14:paraId="6CEE26B6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83F09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711EA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Հասարակական շենքեր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70917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46AFB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8FECB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382E4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15A2B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CE87B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F8DC0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DDB22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CA622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</w:tr>
      <w:tr w:rsidR="00D85831" w14:paraId="55C09BE5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01572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37DAC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8FF5B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93807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722A9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9771F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BD647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8187D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0642E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FFA59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406AB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</w:tr>
    </w:tbl>
    <w:p w14:paraId="59298EDC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2A5A72A1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sz w:val="20"/>
          <w:szCs w:val="20"/>
        </w:rPr>
        <w:lastRenderedPageBreak/>
        <w:t>Սույն աղյուսակում ամրագրված` տարբեր դասերի հրդեհների մարման համար փոշային կրակմարիչները պետք է ունենան համապատասխան լիցքավորում, «A» դասի համար ABC(E) փոշի, «D» դասի համար` (D):</w:t>
      </w:r>
    </w:p>
    <w:p w14:paraId="6AEC42C2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04C9F621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Սույն աղյուսակում.</w:t>
      </w:r>
    </w:p>
    <w:p w14:paraId="52F407F5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ա) «++» նշանով նշված են օբյեկտների ապահովման համար առաջարկվող կրակմարիչները.</w:t>
      </w:r>
    </w:p>
    <w:p w14:paraId="76E23624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բ) «+» նշանով նշված են կրակմարիչներ, որոնց օգտագործումը թույլատրվում է առաջարկվող կրակմարիչների բացակայման և համապատասխան հիմնավորման դեպքում.</w:t>
      </w:r>
    </w:p>
    <w:p w14:paraId="5F43F1BF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գ) «-» նշանով նշված են կրակմարիչներ, որոնցով չի թույլատրվում ապահովել օբյեկտները:</w:t>
      </w:r>
    </w:p>
    <w:p w14:paraId="4C9E112A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rStyle w:val="Strong"/>
          <w:sz w:val="20"/>
          <w:szCs w:val="20"/>
        </w:rPr>
        <w:t>Շենքերը և շինություններն, ըստ մակերեսի, օդափրփրային, համակցված, փոշե և ածխաթթվային կրակմարիչներով ապահովվում են համաձայն հետևյալ աղյուսակի.</w:t>
      </w:r>
    </w:p>
    <w:p w14:paraId="67055DDC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9"/>
        <w:gridCol w:w="1331"/>
        <w:gridCol w:w="1437"/>
        <w:gridCol w:w="790"/>
        <w:gridCol w:w="1500"/>
        <w:gridCol w:w="983"/>
        <w:gridCol w:w="983"/>
        <w:gridCol w:w="517"/>
        <w:gridCol w:w="517"/>
      </w:tblGrid>
      <w:tr w:rsidR="00D85831" w14:paraId="4D15A986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EA673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NN</w:t>
            </w:r>
            <w:r>
              <w:rPr>
                <w:rFonts w:eastAsia="Times New Roman"/>
                <w:sz w:val="20"/>
                <w:szCs w:val="20"/>
              </w:rPr>
              <w:br/>
              <w:t>ը/կ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46857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Շինության կարգը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38DEC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Պաշտպանվող սահմանային մակերեսը, 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8790B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Հրդեհի դասը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85A76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Օդափրփրային կրակմարիչներ (փրփուր) 100 լ տարողությամբ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334F0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Համ-</w:t>
            </w:r>
            <w:r>
              <w:rPr>
                <w:rFonts w:eastAsia="Times New Roman"/>
                <w:sz w:val="20"/>
                <w:szCs w:val="20"/>
              </w:rPr>
              <w:br/>
              <w:t>ակցված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 (փրփուր, փոշի) 100լ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2AD63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Փոշե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 100 լ.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26C68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Ածխա-</w:t>
            </w:r>
            <w:r>
              <w:rPr>
                <w:rFonts w:eastAsia="Times New Roman"/>
                <w:sz w:val="20"/>
                <w:szCs w:val="20"/>
              </w:rPr>
              <w:br/>
              <w:t>թթվային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մարիչներ,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 լ.</w:t>
            </w:r>
          </w:p>
        </w:tc>
      </w:tr>
      <w:tr w:rsidR="00D85831" w14:paraId="523BBFD3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5480E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A1AC6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20807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AD62D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749D3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7F673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66899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7B914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42C14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</w:t>
            </w:r>
          </w:p>
        </w:tc>
      </w:tr>
      <w:tr w:rsidR="00D85831" w14:paraId="04A71556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AE335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B5520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Ա,Բ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,Վ (այրվող գազեր և հեղուկներ)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D838A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C39F2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7D9A5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57BE4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E915A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AF406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076B7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85831" w14:paraId="7B405D1C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A4954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BE11F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858A6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DB1D8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C87A1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C155C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C5D82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C446D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A01B5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85831" w14:paraId="329F5354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0EBA3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CBEC8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FCE28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4A3A8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736AE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97219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B0E76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69591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4A735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85831" w14:paraId="399E8009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C8466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01074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3EBFC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10514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CA4A2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4C8ED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CD922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2A733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50BB3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85831" w14:paraId="272DDFD9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2A0FB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6759B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A8C87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E1358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9245B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4ADF9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2E720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97CE9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9B8A9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85831" w14:paraId="7D015F3C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15802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A05D7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 (բացի այրվող գազերից և հեղուկներից)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EDD06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219CE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4B999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0DA2E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EE802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771A4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F5D0B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85831" w14:paraId="5BA33E5F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F84E5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A2806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E3810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97508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BAF18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8D083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3EC30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8AE10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A7BFC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85831" w14:paraId="5FAEDE0E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CBBD3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E440D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57B9D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42E85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98127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C9107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4ADE7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07A92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AEC0F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85831" w14:paraId="0435B1E9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99A6C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60B30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7DDC6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3A448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25691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FCE8C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38A7A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45E4F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2DD6F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85831" w14:paraId="5D3BAC7C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6EF2B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20EF4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46150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5F628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129EF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281A7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4B69D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E81CC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64400" w14:textId="77777777" w:rsidR="00D85831" w:rsidRDefault="00D85831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14:paraId="5554EDE2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3636D2F7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Սույն աղյուսակում ամրագրված տարբեր դասերի հրդեհների օջախների հրդեհաշիջման համար փոշու և համակցված կրակմարիչները պետք է ունենան համապատասխան լիցքավորում.</w:t>
      </w:r>
    </w:p>
    <w:p w14:paraId="70481BBA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1) «A» դասի համար` ABC(E) փոշի.</w:t>
      </w:r>
    </w:p>
    <w:p w14:paraId="195CB226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2) «B», «C» և «E» դասի համար` BC(E) կամ ABC(E) փոշի.</w:t>
      </w:r>
    </w:p>
    <w:p w14:paraId="142B0DC9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3) «D» դասի համար` D փոշի:</w:t>
      </w:r>
    </w:p>
    <w:p w14:paraId="52BC916A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27236E98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Սույն աղյուսակում.</w:t>
      </w:r>
    </w:p>
    <w:p w14:paraId="155683F4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ա) «++» նշանով նշված են օբյեկտների ապահովման համար առաջարկվող կրակմարիչները.</w:t>
      </w:r>
    </w:p>
    <w:p w14:paraId="3310ED1A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բ) «+» նշանով նշված են կրակմարիչներ, որոնց օգտագործումը թույլատրվում է առաջարկվող կրակմարիչների բացակայման և համապատասխան հիմնավորման դեպքում.</w:t>
      </w:r>
    </w:p>
    <w:p w14:paraId="2B64C089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գ) «-» նշանով նշված են կրակմարիչներ, որոնցով չի թույլատրվում ապահովել օբյեկտները:</w:t>
      </w:r>
    </w:p>
    <w:p w14:paraId="533B0330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19F623DA" w14:textId="77777777" w:rsidR="00D85831" w:rsidRDefault="00D85831" w:rsidP="00D85831">
      <w:pPr>
        <w:pStyle w:val="vhc"/>
        <w:rPr>
          <w:sz w:val="20"/>
          <w:szCs w:val="20"/>
        </w:rPr>
      </w:pPr>
      <w:r>
        <w:rPr>
          <w:sz w:val="20"/>
          <w:szCs w:val="20"/>
        </w:rPr>
        <w:t>ՈՒՂԵՑՈՒՅՑ</w:t>
      </w:r>
      <w:r>
        <w:rPr>
          <w:sz w:val="20"/>
          <w:szCs w:val="20"/>
        </w:rPr>
        <w:br/>
        <w:t>ՄԱՆԿԱԿԱՆ ՆԱԽԱԴՊՐՈՑԱԿԱՆ ՀԻՄՆԱՐԿՆԵՐԻ ՍՏՈՒԳԱԹԵՐԹԻ</w:t>
      </w:r>
    </w:p>
    <w:p w14:paraId="12CA2CC1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71239152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Սույն ստուգաթերթում օգտագործվում են հետևյալ հիմնական հասկացությունները`</w:t>
      </w:r>
    </w:p>
    <w:p w14:paraId="7C8AF33E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1) այրվող նյութ` ինքնուրույն, կրակի աղբյուրի հեռացումից հետո այրվող նյութ.</w:t>
      </w:r>
    </w:p>
    <w:p w14:paraId="79A2867C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sz w:val="20"/>
          <w:szCs w:val="20"/>
        </w:rPr>
        <w:lastRenderedPageBreak/>
        <w:t>2) հակահրդեհային միջտարածություն` շինությունից դեպի հարևան շինություններ կրակի տարածումը կանխարգելելու նպատակով նախատեսված տարածություն</w:t>
      </w:r>
    </w:p>
    <w:p w14:paraId="6B0E31B7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3) հրդեհաշիջման և հրդեհի ազդանշանման ինքնաշխատ կայանքներ (ՀՀԱԻԿ)` նախատեսված են հրդեհաշիջման և հրդեհի վայրի հայտնաբերման համար.</w:t>
      </w:r>
    </w:p>
    <w:p w14:paraId="1A961E43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4) հրդեհի տագնապի ազդարարման ինքնաշխատ համակարգ (ՀՏԱԻՀ)` նախատեսված է հրդեհի տագնապի ազդարարման համար.</w:t>
      </w:r>
    </w:p>
    <w:p w14:paraId="0C13AFA8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5) հրդեհի տագնապի ազդանշանի փոխանցման ինքնաշխատ համակարգ (ՀՏԱՓԻՀ)` նախատեսված է հրդեհի տագնապի ազդանշանը օբյեկտից կապի որևէ հնարավոր միջոցով լիազոր մարմնին հաղորդման համար.</w:t>
      </w:r>
    </w:p>
    <w:p w14:paraId="6A468629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6) լիազոր մարմին` Հայաստանի Հանրապետության ներքին գործերի նախարարություն:</w:t>
      </w:r>
    </w:p>
    <w:p w14:paraId="2E95D3B3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7) հրդեհաշիջման սկզբնական միջոցներ` կրակմարիչներ, արկղ ավազով, դույլ, բահ, կեռաձող, կացին:</w:t>
      </w:r>
    </w:p>
    <w:p w14:paraId="44E736B8" w14:textId="77777777" w:rsidR="00D85831" w:rsidRDefault="00D85831" w:rsidP="00D85831">
      <w:pPr>
        <w:pStyle w:val="comm"/>
        <w:rPr>
          <w:sz w:val="15"/>
          <w:szCs w:val="15"/>
        </w:rPr>
      </w:pPr>
      <w:r>
        <w:rPr>
          <w:sz w:val="15"/>
          <w:szCs w:val="15"/>
        </w:rPr>
        <w:t>(23-րդ հավելվածը լրաց. 12.09.19 թիվ 1244-Ն, փոփ. 03.08.23 թիվ 1304-Ն, 18.01.24 թիվ 88-Ն որոշումներ)</w:t>
      </w:r>
    </w:p>
    <w:p w14:paraId="752B0FA0" w14:textId="77777777" w:rsidR="00D85831" w:rsidRDefault="00D85831" w:rsidP="00D85831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28F771CA" w14:textId="77777777" w:rsidR="00CC2828" w:rsidRDefault="00CC2828"/>
    <w:sectPr w:rsidR="00CC2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ifont">
    <w:panose1 w:val="00000000000000000000"/>
    <w:charset w:val="00"/>
    <w:family w:val="roman"/>
    <w:notTrueType/>
    <w:pitch w:val="default"/>
  </w:font>
  <w:font w:name="Arm Mon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1736A"/>
    <w:multiLevelType w:val="multilevel"/>
    <w:tmpl w:val="F5EA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5861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31"/>
    <w:rsid w:val="00305BE4"/>
    <w:rsid w:val="006E785E"/>
    <w:rsid w:val="00CC2828"/>
    <w:rsid w:val="00D85831"/>
    <w:rsid w:val="00E4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1C4A1"/>
  <w15:chartTrackingRefBased/>
  <w15:docId w15:val="{D2CFD2A4-CF83-421C-A9BD-10DF4960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831"/>
    <w:pPr>
      <w:spacing w:before="0"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785E"/>
    <w:pPr>
      <w:pBdr>
        <w:top w:val="single" w:sz="24" w:space="0" w:color="A6B727" w:themeColor="accent1"/>
        <w:left w:val="single" w:sz="24" w:space="0" w:color="A6B727" w:themeColor="accent1"/>
        <w:bottom w:val="single" w:sz="24" w:space="0" w:color="A6B727" w:themeColor="accent1"/>
        <w:right w:val="single" w:sz="24" w:space="0" w:color="A6B727" w:themeColor="accent1"/>
      </w:pBdr>
      <w:shd w:val="clear" w:color="auto" w:fill="A6B727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85E"/>
    <w:pPr>
      <w:pBdr>
        <w:top w:val="single" w:sz="24" w:space="0" w:color="F0F5CF" w:themeColor="accent1" w:themeTint="33"/>
        <w:left w:val="single" w:sz="24" w:space="0" w:color="F0F5CF" w:themeColor="accent1" w:themeTint="33"/>
        <w:bottom w:val="single" w:sz="24" w:space="0" w:color="F0F5CF" w:themeColor="accent1" w:themeTint="33"/>
        <w:right w:val="single" w:sz="24" w:space="0" w:color="F0F5CF" w:themeColor="accent1" w:themeTint="33"/>
      </w:pBdr>
      <w:shd w:val="clear" w:color="auto" w:fill="F0F5CF" w:themeFill="accent1" w:themeFillTint="33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85E"/>
    <w:pPr>
      <w:pBdr>
        <w:top w:val="single" w:sz="6" w:space="2" w:color="A6B727" w:themeColor="accent1"/>
      </w:pBdr>
      <w:spacing w:before="300"/>
      <w:outlineLvl w:val="2"/>
    </w:pPr>
    <w:rPr>
      <w:caps/>
      <w:color w:val="525A1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85E"/>
    <w:pPr>
      <w:pBdr>
        <w:top w:val="dotted" w:sz="6" w:space="2" w:color="A6B727" w:themeColor="accent1"/>
      </w:pBdr>
      <w:spacing w:before="200"/>
      <w:outlineLvl w:val="3"/>
    </w:pPr>
    <w:rPr>
      <w:caps/>
      <w:color w:val="7B881D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85E"/>
    <w:pPr>
      <w:pBdr>
        <w:bottom w:val="single" w:sz="6" w:space="1" w:color="A6B727" w:themeColor="accent1"/>
      </w:pBdr>
      <w:spacing w:before="200"/>
      <w:outlineLvl w:val="4"/>
    </w:pPr>
    <w:rPr>
      <w:caps/>
      <w:color w:val="7B881D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85E"/>
    <w:pPr>
      <w:pBdr>
        <w:bottom w:val="dotted" w:sz="6" w:space="1" w:color="A6B727" w:themeColor="accent1"/>
      </w:pBdr>
      <w:spacing w:before="200"/>
      <w:outlineLvl w:val="5"/>
    </w:pPr>
    <w:rPr>
      <w:caps/>
      <w:color w:val="7B881D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85E"/>
    <w:pPr>
      <w:spacing w:before="200"/>
      <w:outlineLvl w:val="6"/>
    </w:pPr>
    <w:rPr>
      <w:caps/>
      <w:color w:val="7B881D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85E"/>
    <w:pPr>
      <w:spacing w:before="2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85E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85E"/>
    <w:rPr>
      <w:caps/>
      <w:color w:val="FFFFFF" w:themeColor="background1"/>
      <w:spacing w:val="15"/>
      <w:sz w:val="22"/>
      <w:szCs w:val="22"/>
      <w:shd w:val="clear" w:color="auto" w:fill="A6B727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85E"/>
    <w:rPr>
      <w:caps/>
      <w:spacing w:val="15"/>
      <w:shd w:val="clear" w:color="auto" w:fill="F0F5C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85E"/>
    <w:rPr>
      <w:caps/>
      <w:color w:val="525A1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85E"/>
    <w:rPr>
      <w:caps/>
      <w:color w:val="7B881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85E"/>
    <w:rPr>
      <w:caps/>
      <w:color w:val="7B881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85E"/>
    <w:rPr>
      <w:caps/>
      <w:color w:val="7B881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85E"/>
    <w:rPr>
      <w:caps/>
      <w:color w:val="7B881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85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85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785E"/>
    <w:rPr>
      <w:b/>
      <w:bCs/>
      <w:color w:val="7B881D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E785E"/>
    <w:rPr>
      <w:rFonts w:asciiTheme="majorHAnsi" w:eastAsiaTheme="majorEastAsia" w:hAnsiTheme="majorHAnsi" w:cstheme="majorBidi"/>
      <w:caps/>
      <w:color w:val="A6B727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785E"/>
    <w:rPr>
      <w:rFonts w:asciiTheme="majorHAnsi" w:eastAsiaTheme="majorEastAsia" w:hAnsiTheme="majorHAnsi" w:cstheme="majorBidi"/>
      <w:caps/>
      <w:color w:val="A6B727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85E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E785E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E785E"/>
    <w:rPr>
      <w:b/>
      <w:bCs/>
    </w:rPr>
  </w:style>
  <w:style w:type="character" w:styleId="Emphasis">
    <w:name w:val="Emphasis"/>
    <w:uiPriority w:val="20"/>
    <w:qFormat/>
    <w:rsid w:val="006E785E"/>
    <w:rPr>
      <w:caps/>
      <w:color w:val="525A13" w:themeColor="accent1" w:themeShade="7F"/>
      <w:spacing w:val="5"/>
    </w:rPr>
  </w:style>
  <w:style w:type="paragraph" w:styleId="NoSpacing">
    <w:name w:val="No Spacing"/>
    <w:uiPriority w:val="1"/>
    <w:qFormat/>
    <w:rsid w:val="006E785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78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E785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E785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85E"/>
    <w:pPr>
      <w:spacing w:before="240" w:after="240"/>
      <w:ind w:left="1080" w:right="1080"/>
      <w:jc w:val="center"/>
    </w:pPr>
    <w:rPr>
      <w:color w:val="A6B72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85E"/>
    <w:rPr>
      <w:color w:val="A6B727" w:themeColor="accent1"/>
      <w:sz w:val="24"/>
      <w:szCs w:val="24"/>
    </w:rPr>
  </w:style>
  <w:style w:type="character" w:styleId="SubtleEmphasis">
    <w:name w:val="Subtle Emphasis"/>
    <w:uiPriority w:val="19"/>
    <w:qFormat/>
    <w:rsid w:val="006E785E"/>
    <w:rPr>
      <w:i/>
      <w:iCs/>
      <w:color w:val="525A13" w:themeColor="accent1" w:themeShade="7F"/>
    </w:rPr>
  </w:style>
  <w:style w:type="character" w:styleId="IntenseEmphasis">
    <w:name w:val="Intense Emphasis"/>
    <w:uiPriority w:val="21"/>
    <w:qFormat/>
    <w:rsid w:val="006E785E"/>
    <w:rPr>
      <w:b/>
      <w:bCs/>
      <w:caps/>
      <w:color w:val="525A13" w:themeColor="accent1" w:themeShade="7F"/>
      <w:spacing w:val="10"/>
    </w:rPr>
  </w:style>
  <w:style w:type="character" w:styleId="SubtleReference">
    <w:name w:val="Subtle Reference"/>
    <w:uiPriority w:val="31"/>
    <w:qFormat/>
    <w:rsid w:val="006E785E"/>
    <w:rPr>
      <w:b/>
      <w:bCs/>
      <w:color w:val="A6B727" w:themeColor="accent1"/>
    </w:rPr>
  </w:style>
  <w:style w:type="character" w:styleId="IntenseReference">
    <w:name w:val="Intense Reference"/>
    <w:uiPriority w:val="32"/>
    <w:qFormat/>
    <w:rsid w:val="006E785E"/>
    <w:rPr>
      <w:b/>
      <w:bCs/>
      <w:i/>
      <w:iCs/>
      <w:caps/>
      <w:color w:val="A6B727" w:themeColor="accent1"/>
    </w:rPr>
  </w:style>
  <w:style w:type="character" w:styleId="BookTitle">
    <w:name w:val="Book Title"/>
    <w:uiPriority w:val="33"/>
    <w:qFormat/>
    <w:rsid w:val="006E785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785E"/>
    <w:pPr>
      <w:outlineLvl w:val="9"/>
    </w:pPr>
  </w:style>
  <w:style w:type="paragraph" w:customStyle="1" w:styleId="msonormal0">
    <w:name w:val="msonormal"/>
    <w:basedOn w:val="Normal"/>
    <w:rsid w:val="00D85831"/>
    <w:pPr>
      <w:ind w:firstLine="450"/>
      <w:jc w:val="both"/>
    </w:pPr>
  </w:style>
  <w:style w:type="paragraph" w:styleId="NormalWeb">
    <w:name w:val="Normal (Web)"/>
    <w:basedOn w:val="Normal"/>
    <w:uiPriority w:val="99"/>
    <w:semiHidden/>
    <w:unhideWhenUsed/>
    <w:rsid w:val="00D85831"/>
    <w:pPr>
      <w:ind w:firstLine="450"/>
      <w:jc w:val="both"/>
    </w:pPr>
  </w:style>
  <w:style w:type="paragraph" w:customStyle="1" w:styleId="bc0h">
    <w:name w:val="bc0h"/>
    <w:basedOn w:val="Normal"/>
    <w:rsid w:val="00D85831"/>
    <w:pPr>
      <w:ind w:left="450"/>
      <w:jc w:val="center"/>
    </w:pPr>
    <w:rPr>
      <w:b/>
      <w:bCs/>
    </w:rPr>
  </w:style>
  <w:style w:type="paragraph" w:customStyle="1" w:styleId="bc1m">
    <w:name w:val="bc1m"/>
    <w:basedOn w:val="Normal"/>
    <w:rsid w:val="00D85831"/>
    <w:pPr>
      <w:ind w:left="450"/>
      <w:jc w:val="center"/>
    </w:pPr>
    <w:rPr>
      <w:b/>
      <w:bCs/>
    </w:rPr>
  </w:style>
  <w:style w:type="paragraph" w:customStyle="1" w:styleId="bc2b">
    <w:name w:val="bc2b"/>
    <w:basedOn w:val="Normal"/>
    <w:rsid w:val="00D85831"/>
    <w:pPr>
      <w:ind w:left="450"/>
      <w:jc w:val="center"/>
    </w:pPr>
    <w:rPr>
      <w:b/>
      <w:bCs/>
    </w:rPr>
  </w:style>
  <w:style w:type="paragraph" w:customStyle="1" w:styleId="bc3e">
    <w:name w:val="bc3e"/>
    <w:basedOn w:val="Normal"/>
    <w:rsid w:val="00D85831"/>
    <w:pPr>
      <w:ind w:left="450"/>
      <w:jc w:val="center"/>
    </w:pPr>
    <w:rPr>
      <w:b/>
      <w:bCs/>
    </w:rPr>
  </w:style>
  <w:style w:type="paragraph" w:customStyle="1" w:styleId="bc4gp">
    <w:name w:val="bc4gp"/>
    <w:basedOn w:val="Normal"/>
    <w:rsid w:val="00D85831"/>
    <w:pPr>
      <w:ind w:left="450"/>
      <w:jc w:val="center"/>
    </w:pPr>
    <w:rPr>
      <w:b/>
      <w:bCs/>
    </w:rPr>
  </w:style>
  <w:style w:type="paragraph" w:customStyle="1" w:styleId="bc5p">
    <w:name w:val="bc5p"/>
    <w:basedOn w:val="Normal"/>
    <w:rsid w:val="00D85831"/>
    <w:pPr>
      <w:ind w:left="450"/>
      <w:jc w:val="center"/>
    </w:pPr>
    <w:rPr>
      <w:b/>
      <w:bCs/>
    </w:rPr>
  </w:style>
  <w:style w:type="paragraph" w:customStyle="1" w:styleId="bc6k">
    <w:name w:val="bc6k"/>
    <w:basedOn w:val="Normal"/>
    <w:rsid w:val="00D85831"/>
    <w:pPr>
      <w:ind w:left="450" w:firstLine="450"/>
      <w:jc w:val="center"/>
    </w:pPr>
    <w:rPr>
      <w:b/>
      <w:bCs/>
    </w:rPr>
  </w:style>
  <w:style w:type="paragraph" w:customStyle="1" w:styleId="vhc">
    <w:name w:val="vhc"/>
    <w:basedOn w:val="Normal"/>
    <w:rsid w:val="00D85831"/>
    <w:pPr>
      <w:ind w:left="450" w:firstLine="450"/>
      <w:jc w:val="center"/>
    </w:pPr>
    <w:rPr>
      <w:b/>
      <w:bCs/>
    </w:rPr>
  </w:style>
  <w:style w:type="paragraph" w:customStyle="1" w:styleId="bc4gt">
    <w:name w:val="bc4gt"/>
    <w:basedOn w:val="Normal"/>
    <w:rsid w:val="00D85831"/>
    <w:pPr>
      <w:ind w:left="450"/>
    </w:pPr>
  </w:style>
  <w:style w:type="paragraph" w:customStyle="1" w:styleId="bc7h">
    <w:name w:val="bc7h"/>
    <w:basedOn w:val="Normal"/>
    <w:rsid w:val="00D85831"/>
    <w:pPr>
      <w:ind w:left="450"/>
    </w:pPr>
  </w:style>
  <w:style w:type="paragraph" w:customStyle="1" w:styleId="vht">
    <w:name w:val="vht"/>
    <w:basedOn w:val="Normal"/>
    <w:rsid w:val="00D85831"/>
    <w:pPr>
      <w:ind w:left="450"/>
    </w:pPr>
  </w:style>
  <w:style w:type="paragraph" w:customStyle="1" w:styleId="comm">
    <w:name w:val="comm"/>
    <w:basedOn w:val="Normal"/>
    <w:rsid w:val="00D85831"/>
    <w:pPr>
      <w:ind w:firstLine="450"/>
      <w:jc w:val="both"/>
    </w:pPr>
    <w:rPr>
      <w:b/>
      <w:bCs/>
      <w:i/>
      <w:iCs/>
      <w:sz w:val="20"/>
      <w:szCs w:val="20"/>
    </w:rPr>
  </w:style>
  <w:style w:type="paragraph" w:customStyle="1" w:styleId="tst">
    <w:name w:val="tst"/>
    <w:basedOn w:val="Normal"/>
    <w:rsid w:val="00D85831"/>
    <w:pPr>
      <w:spacing w:before="100" w:beforeAutospacing="1" w:after="100" w:afterAutospacing="1"/>
    </w:pPr>
    <w:rPr>
      <w:rFonts w:ascii="ifont" w:hAnsi="ifont"/>
      <w:sz w:val="14"/>
      <w:szCs w:val="14"/>
    </w:rPr>
  </w:style>
  <w:style w:type="paragraph" w:customStyle="1" w:styleId="empty">
    <w:name w:val="empty"/>
    <w:basedOn w:val="Normal"/>
    <w:rsid w:val="00D85831"/>
    <w:pPr>
      <w:shd w:val="clear" w:color="auto" w:fill="FF0000"/>
      <w:spacing w:before="100" w:beforeAutospacing="1" w:after="100" w:afterAutospacing="1"/>
      <w:ind w:left="105"/>
    </w:pPr>
  </w:style>
  <w:style w:type="paragraph" w:customStyle="1" w:styleId="irtekcomm">
    <w:name w:val="irtek_comm"/>
    <w:basedOn w:val="Normal"/>
    <w:rsid w:val="00D85831"/>
    <w:pPr>
      <w:pBdr>
        <w:top w:val="single" w:sz="6" w:space="2" w:color="0077BB"/>
        <w:bottom w:val="single" w:sz="6" w:space="2" w:color="0077BB"/>
      </w:pBdr>
      <w:shd w:val="clear" w:color="auto" w:fill="F0F0F0"/>
      <w:spacing w:before="105" w:after="105"/>
      <w:ind w:left="450" w:right="150"/>
    </w:pPr>
    <w:rPr>
      <w:color w:val="0077BB"/>
      <w:sz w:val="20"/>
      <w:szCs w:val="20"/>
    </w:rPr>
  </w:style>
  <w:style w:type="paragraph" w:customStyle="1" w:styleId="tablestyle">
    <w:name w:val="tablestyle"/>
    <w:basedOn w:val="Normal"/>
    <w:rsid w:val="00D85831"/>
    <w:rPr>
      <w:rFonts w:ascii="Arm Mono" w:hAnsi="Arm Mono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8583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5831"/>
    <w:rPr>
      <w:color w:val="800080"/>
      <w:u w:val="single"/>
    </w:rPr>
  </w:style>
  <w:style w:type="paragraph" w:customStyle="1" w:styleId="dateinterval">
    <w:name w:val="dateinterval"/>
    <w:basedOn w:val="Normal"/>
    <w:rsid w:val="00D85831"/>
    <w:pPr>
      <w:ind w:firstLine="450"/>
      <w:jc w:val="both"/>
    </w:pPr>
  </w:style>
  <w:style w:type="paragraph" w:customStyle="1" w:styleId="maxindex">
    <w:name w:val="maxindex"/>
    <w:basedOn w:val="Normal"/>
    <w:rsid w:val="00D85831"/>
    <w:pPr>
      <w:ind w:firstLine="45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i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2595</Words>
  <Characters>14792</Characters>
  <Application>Microsoft Office Word</Application>
  <DocSecurity>0</DocSecurity>
  <Lines>123</Lines>
  <Paragraphs>34</Paragraphs>
  <ScaleCrop>false</ScaleCrop>
  <Company/>
  <LinksUpToDate>false</LinksUpToDate>
  <CharactersWithSpaces>17353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</dc:creator>
  <cp:keywords/>
  <dc:description/>
  <cp:lastModifiedBy>Armine</cp:lastModifiedBy>
  <cp:revision>1</cp:revision>
  <dcterms:created xsi:type="dcterms:W3CDTF">2024-06-11T07:03:00Z</dcterms:created>
  <dcterms:modified xsi:type="dcterms:W3CDTF">2024-06-11T07:03:00Z</dcterms:modified>
</cp:coreProperties>
</file>